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F11" w:rsidRDefault="00000000">
      <w:pPr>
        <w:spacing w:after="157"/>
        <w:ind w:left="1395"/>
        <w:jc w:val="center"/>
      </w:pPr>
      <w:r>
        <w:rPr>
          <w:rFonts w:ascii="Times New Roman" w:eastAsia="Times New Roman" w:hAnsi="Times New Roman" w:cs="Times New Roman"/>
          <w:b/>
          <w:sz w:val="28"/>
        </w:rPr>
        <w:t>EXHIBIT D</w:t>
      </w:r>
    </w:p>
    <w:p w:rsidR="00243F11" w:rsidRDefault="00000000">
      <w:pPr>
        <w:spacing w:after="0"/>
        <w:jc w:val="right"/>
      </w:pPr>
      <w:r>
        <w:rPr>
          <w:rFonts w:ascii="Times New Roman" w:eastAsia="Times New Roman" w:hAnsi="Times New Roman" w:cs="Times New Roman"/>
          <w:b/>
          <w:sz w:val="28"/>
        </w:rPr>
        <w:t>Property Improvements Application and Compliance Fee Schedule</w:t>
      </w:r>
    </w:p>
    <w:tbl>
      <w:tblPr>
        <w:tblStyle w:val="TableGrid"/>
        <w:tblW w:w="10730" w:type="dxa"/>
        <w:tblInd w:w="-120" w:type="dxa"/>
        <w:tblCellMar>
          <w:top w:w="56" w:type="dxa"/>
          <w:left w:w="115" w:type="dxa"/>
          <w:bottom w:w="0" w:type="dxa"/>
          <w:right w:w="97" w:type="dxa"/>
        </w:tblCellMar>
        <w:tblLook w:val="04A0" w:firstRow="1" w:lastRow="0" w:firstColumn="1" w:lastColumn="0" w:noHBand="0" w:noVBand="1"/>
      </w:tblPr>
      <w:tblGrid>
        <w:gridCol w:w="5760"/>
        <w:gridCol w:w="1710"/>
        <w:gridCol w:w="1620"/>
        <w:gridCol w:w="1640"/>
      </w:tblGrid>
      <w:tr w:rsidR="00243F11">
        <w:trPr>
          <w:trHeight w:val="3329"/>
        </w:trPr>
        <w:tc>
          <w:tcPr>
            <w:tcW w:w="10730" w:type="dxa"/>
            <w:gridSpan w:val="4"/>
            <w:tcBorders>
              <w:top w:val="single" w:sz="4" w:space="0" w:color="000000"/>
              <w:left w:val="single" w:sz="4" w:space="0" w:color="000000"/>
              <w:bottom w:val="single" w:sz="4" w:space="0" w:color="000000"/>
              <w:right w:val="single" w:sz="4" w:space="0" w:color="000000"/>
            </w:tcBorders>
          </w:tcPr>
          <w:p w:rsidR="00243F11" w:rsidRDefault="00000000">
            <w:pPr>
              <w:spacing w:after="40"/>
            </w:pPr>
            <w:r>
              <w:rPr>
                <w:rFonts w:ascii="Times New Roman" w:eastAsia="Times New Roman" w:hAnsi="Times New Roman" w:cs="Times New Roman"/>
                <w:b/>
                <w:sz w:val="20"/>
                <w:u w:val="single" w:color="000000"/>
              </w:rPr>
              <w:t>NOTES</w:t>
            </w:r>
            <w:r>
              <w:rPr>
                <w:rFonts w:ascii="Times New Roman" w:eastAsia="Times New Roman" w:hAnsi="Times New Roman" w:cs="Times New Roman"/>
                <w:sz w:val="20"/>
              </w:rPr>
              <w:t>:</w:t>
            </w:r>
          </w:p>
          <w:p w:rsidR="00243F11" w:rsidRDefault="00000000">
            <w:pPr>
              <w:numPr>
                <w:ilvl w:val="0"/>
                <w:numId w:val="1"/>
              </w:numPr>
              <w:spacing w:after="0"/>
              <w:ind w:hanging="189"/>
            </w:pPr>
            <w:r>
              <w:rPr>
                <w:rFonts w:ascii="Times New Roman" w:eastAsia="Times New Roman" w:hAnsi="Times New Roman" w:cs="Times New Roman"/>
                <w:sz w:val="20"/>
              </w:rPr>
              <w:t xml:space="preserve">Any improvements or changes to residential properties within Pinehurst National must be approved by the ARB </w:t>
            </w:r>
            <w:r>
              <w:rPr>
                <w:rFonts w:ascii="Times New Roman" w:eastAsia="Times New Roman" w:hAnsi="Times New Roman" w:cs="Times New Roman"/>
                <w:sz w:val="20"/>
                <w:u w:val="single" w:color="000000"/>
              </w:rPr>
              <w:t>before</w:t>
            </w:r>
          </w:p>
          <w:p w:rsidR="00243F11" w:rsidRDefault="00000000">
            <w:pPr>
              <w:spacing w:after="40"/>
              <w:ind w:left="158"/>
            </w:pPr>
            <w:r>
              <w:rPr>
                <w:rFonts w:ascii="Times New Roman" w:eastAsia="Times New Roman" w:hAnsi="Times New Roman" w:cs="Times New Roman"/>
                <w:sz w:val="20"/>
              </w:rPr>
              <w:t xml:space="preserve">work may commence. </w:t>
            </w:r>
          </w:p>
          <w:p w:rsidR="00243F11" w:rsidRDefault="00000000">
            <w:pPr>
              <w:numPr>
                <w:ilvl w:val="0"/>
                <w:numId w:val="1"/>
              </w:numPr>
              <w:spacing w:after="60" w:line="238" w:lineRule="auto"/>
              <w:ind w:hanging="189"/>
            </w:pPr>
            <w:r>
              <w:rPr>
                <w:rFonts w:ascii="Times New Roman" w:eastAsia="Times New Roman" w:hAnsi="Times New Roman" w:cs="Times New Roman"/>
                <w:sz w:val="20"/>
              </w:rPr>
              <w:t xml:space="preserve">Application fees may be collected based on the size/scope of the project. </w:t>
            </w:r>
            <w:r>
              <w:rPr>
                <w:rFonts w:ascii="Times New Roman" w:eastAsia="Times New Roman" w:hAnsi="Times New Roman" w:cs="Times New Roman"/>
                <w:color w:val="FF0000"/>
                <w:sz w:val="20"/>
              </w:rPr>
              <w:t xml:space="preserve"> </w:t>
            </w:r>
            <w:r>
              <w:rPr>
                <w:rFonts w:ascii="Times New Roman" w:eastAsia="Times New Roman" w:hAnsi="Times New Roman" w:cs="Times New Roman"/>
                <w:sz w:val="20"/>
              </w:rPr>
              <w:t xml:space="preserve">Application fees are non-refundable and only one application fee will be charged per project. These fees are deposited in the NPOA general fund. </w:t>
            </w:r>
          </w:p>
          <w:p w:rsidR="00243F11" w:rsidRDefault="00000000">
            <w:pPr>
              <w:numPr>
                <w:ilvl w:val="0"/>
                <w:numId w:val="1"/>
              </w:numPr>
              <w:spacing w:after="60" w:line="238" w:lineRule="auto"/>
              <w:ind w:hanging="189"/>
            </w:pPr>
            <w:r>
              <w:rPr>
                <w:rFonts w:ascii="Times New Roman" w:eastAsia="Times New Roman" w:hAnsi="Times New Roman" w:cs="Times New Roman"/>
                <w:sz w:val="20"/>
              </w:rPr>
              <w:t>Compliance fees are collected on major projects to help ensure that projects conform to their approved scope. Compliance fees will be refunded upon ARB determination that the project is completed as it was approved. Some or all of the compliance fee may be forfeited if the project deviates from what the ARB approved.</w:t>
            </w:r>
          </w:p>
          <w:p w:rsidR="00243F11" w:rsidRDefault="00000000">
            <w:pPr>
              <w:numPr>
                <w:ilvl w:val="0"/>
                <w:numId w:val="1"/>
              </w:numPr>
              <w:spacing w:after="0" w:line="238" w:lineRule="auto"/>
              <w:ind w:hanging="189"/>
            </w:pPr>
            <w:r>
              <w:rPr>
                <w:rFonts w:ascii="Times New Roman" w:eastAsia="Times New Roman" w:hAnsi="Times New Roman" w:cs="Times New Roman"/>
                <w:sz w:val="20"/>
              </w:rPr>
              <w:t xml:space="preserve">An ARB application is not required for </w:t>
            </w:r>
            <w:r>
              <w:rPr>
                <w:rFonts w:ascii="Times New Roman" w:eastAsia="Times New Roman" w:hAnsi="Times New Roman" w:cs="Times New Roman"/>
                <w:sz w:val="20"/>
                <w:u w:val="single" w:color="000000"/>
              </w:rPr>
              <w:t>routine</w:t>
            </w:r>
            <w:r>
              <w:rPr>
                <w:rFonts w:ascii="Times New Roman" w:eastAsia="Times New Roman" w:hAnsi="Times New Roman" w:cs="Times New Roman"/>
                <w:sz w:val="20"/>
              </w:rPr>
              <w:t xml:space="preserve"> maintenance that </w:t>
            </w:r>
            <w:r>
              <w:rPr>
                <w:rFonts w:ascii="Times New Roman" w:eastAsia="Times New Roman" w:hAnsi="Times New Roman" w:cs="Times New Roman"/>
                <w:b/>
                <w:sz w:val="20"/>
              </w:rPr>
              <w:t>does not</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change</w:t>
            </w:r>
            <w:r>
              <w:rPr>
                <w:rFonts w:ascii="Times New Roman" w:eastAsia="Times New Roman" w:hAnsi="Times New Roman" w:cs="Times New Roman"/>
                <w:sz w:val="20"/>
              </w:rPr>
              <w:t xml:space="preserve"> the look of the property.  For example:</w:t>
            </w:r>
          </w:p>
          <w:p w:rsidR="00243F11" w:rsidRDefault="00000000">
            <w:pPr>
              <w:spacing w:after="0"/>
              <w:ind w:left="158"/>
            </w:pPr>
            <w:r>
              <w:rPr>
                <w:rFonts w:ascii="Times New Roman" w:eastAsia="Times New Roman" w:hAnsi="Times New Roman" w:cs="Times New Roman"/>
                <w:sz w:val="20"/>
              </w:rPr>
              <w:t>-- Yard Care: seasonal tree/bush pruning; replacing sod in existing grassy areas; refreshing current mulch/pine straw.</w:t>
            </w:r>
          </w:p>
          <w:p w:rsidR="00243F11" w:rsidRDefault="00000000">
            <w:pPr>
              <w:spacing w:after="0"/>
              <w:ind w:left="158"/>
            </w:pPr>
            <w:r>
              <w:rPr>
                <w:rFonts w:ascii="Times New Roman" w:eastAsia="Times New Roman" w:hAnsi="Times New Roman" w:cs="Times New Roman"/>
                <w:sz w:val="20"/>
              </w:rPr>
              <w:t>-- Home Mx: Power washing home; replacing exterior HVAC unit; repairing a rotting pergola.</w:t>
            </w:r>
          </w:p>
        </w:tc>
      </w:tr>
      <w:tr w:rsidR="00243F11">
        <w:trPr>
          <w:trHeight w:val="647"/>
        </w:trPr>
        <w:tc>
          <w:tcPr>
            <w:tcW w:w="5760" w:type="dxa"/>
            <w:tcBorders>
              <w:top w:val="single" w:sz="4" w:space="0" w:color="000000"/>
              <w:left w:val="single" w:sz="4" w:space="0" w:color="000000"/>
              <w:bottom w:val="single" w:sz="4" w:space="0" w:color="000000"/>
              <w:right w:val="single" w:sz="4" w:space="0" w:color="000000"/>
            </w:tcBorders>
          </w:tcPr>
          <w:p w:rsidR="00243F11" w:rsidRDefault="00000000">
            <w:pPr>
              <w:spacing w:after="0"/>
            </w:pPr>
            <w:r>
              <w:rPr>
                <w:rFonts w:ascii="Times New Roman" w:eastAsia="Times New Roman" w:hAnsi="Times New Roman" w:cs="Times New Roman"/>
                <w:sz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rsidR="00243F11" w:rsidRDefault="00000000">
            <w:pPr>
              <w:spacing w:after="0"/>
              <w:jc w:val="center"/>
            </w:pPr>
            <w:r>
              <w:rPr>
                <w:rFonts w:ascii="Times New Roman" w:eastAsia="Times New Roman" w:hAnsi="Times New Roman" w:cs="Times New Roman"/>
                <w:b/>
                <w:sz w:val="24"/>
              </w:rPr>
              <w:t>Application Required?</w:t>
            </w:r>
          </w:p>
        </w:tc>
        <w:tc>
          <w:tcPr>
            <w:tcW w:w="1620" w:type="dxa"/>
            <w:tcBorders>
              <w:top w:val="single" w:sz="4" w:space="0" w:color="000000"/>
              <w:left w:val="single" w:sz="4" w:space="0" w:color="000000"/>
              <w:bottom w:val="single" w:sz="4" w:space="0" w:color="000000"/>
              <w:right w:val="single" w:sz="4" w:space="0" w:color="000000"/>
            </w:tcBorders>
          </w:tcPr>
          <w:p w:rsidR="00243F11" w:rsidRDefault="00000000">
            <w:pPr>
              <w:spacing w:after="0"/>
              <w:jc w:val="center"/>
            </w:pPr>
            <w:r>
              <w:rPr>
                <w:rFonts w:ascii="Times New Roman" w:eastAsia="Times New Roman" w:hAnsi="Times New Roman" w:cs="Times New Roman"/>
                <w:b/>
                <w:sz w:val="24"/>
              </w:rPr>
              <w:t>Application Fee</w:t>
            </w:r>
          </w:p>
        </w:tc>
        <w:tc>
          <w:tcPr>
            <w:tcW w:w="1640" w:type="dxa"/>
            <w:tcBorders>
              <w:top w:val="single" w:sz="4" w:space="0" w:color="000000"/>
              <w:left w:val="single" w:sz="4" w:space="0" w:color="000000"/>
              <w:bottom w:val="single" w:sz="4" w:space="0" w:color="000000"/>
              <w:right w:val="single" w:sz="4" w:space="0" w:color="000000"/>
            </w:tcBorders>
          </w:tcPr>
          <w:p w:rsidR="00243F11" w:rsidRDefault="00000000">
            <w:pPr>
              <w:spacing w:after="0"/>
              <w:jc w:val="center"/>
            </w:pPr>
            <w:r>
              <w:rPr>
                <w:rFonts w:ascii="Times New Roman" w:eastAsia="Times New Roman" w:hAnsi="Times New Roman" w:cs="Times New Roman"/>
                <w:b/>
                <w:sz w:val="24"/>
              </w:rPr>
              <w:t>Compliance Deposit</w:t>
            </w:r>
          </w:p>
        </w:tc>
      </w:tr>
      <w:tr w:rsidR="00243F11">
        <w:trPr>
          <w:trHeight w:val="782"/>
        </w:trPr>
        <w:tc>
          <w:tcPr>
            <w:tcW w:w="576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pPr>
            <w:r>
              <w:rPr>
                <w:rFonts w:ascii="Times New Roman" w:eastAsia="Times New Roman" w:hAnsi="Times New Roman" w:cs="Times New Roman"/>
                <w:sz w:val="24"/>
              </w:rPr>
              <w:t>1. New Construction on an undeveloped lot.</w:t>
            </w:r>
          </w:p>
        </w:tc>
        <w:tc>
          <w:tcPr>
            <w:tcW w:w="171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Yes</w:t>
            </w:r>
          </w:p>
        </w:tc>
        <w:tc>
          <w:tcPr>
            <w:tcW w:w="162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$7,500</w:t>
            </w:r>
          </w:p>
        </w:tc>
        <w:tc>
          <w:tcPr>
            <w:tcW w:w="164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$5,000</w:t>
            </w:r>
          </w:p>
        </w:tc>
      </w:tr>
      <w:tr w:rsidR="00243F11">
        <w:trPr>
          <w:trHeight w:val="1080"/>
        </w:trPr>
        <w:tc>
          <w:tcPr>
            <w:tcW w:w="576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left="346" w:hanging="346"/>
            </w:pPr>
            <w:r>
              <w:rPr>
                <w:rFonts w:ascii="Times New Roman" w:eastAsia="Times New Roman" w:hAnsi="Times New Roman" w:cs="Times New Roman"/>
                <w:sz w:val="24"/>
              </w:rPr>
              <w:t>2. New additions adding square footage to the home, or building a swimming pool.</w:t>
            </w:r>
          </w:p>
        </w:tc>
        <w:tc>
          <w:tcPr>
            <w:tcW w:w="171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Yes</w:t>
            </w:r>
          </w:p>
        </w:tc>
        <w:tc>
          <w:tcPr>
            <w:tcW w:w="162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$3,000</w:t>
            </w:r>
          </w:p>
        </w:tc>
        <w:tc>
          <w:tcPr>
            <w:tcW w:w="164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$3,000</w:t>
            </w:r>
          </w:p>
        </w:tc>
      </w:tr>
      <w:tr w:rsidR="00243F11">
        <w:trPr>
          <w:trHeight w:val="1080"/>
        </w:trPr>
        <w:tc>
          <w:tcPr>
            <w:tcW w:w="576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left="346" w:hanging="346"/>
            </w:pPr>
            <w:r>
              <w:rPr>
                <w:rFonts w:ascii="Times New Roman" w:eastAsia="Times New Roman" w:hAnsi="Times New Roman" w:cs="Times New Roman"/>
                <w:sz w:val="24"/>
              </w:rPr>
              <w:t>3. Major exterior improvements with a cost of more than $5000 (Ex: adding a roof dormer, expansive hardscape area, or enclosing an existing porch).</w:t>
            </w:r>
          </w:p>
        </w:tc>
        <w:tc>
          <w:tcPr>
            <w:tcW w:w="171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Yes</w:t>
            </w:r>
          </w:p>
        </w:tc>
        <w:tc>
          <w:tcPr>
            <w:tcW w:w="162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$750</w:t>
            </w:r>
          </w:p>
        </w:tc>
        <w:tc>
          <w:tcPr>
            <w:tcW w:w="164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$750</w:t>
            </w:r>
          </w:p>
        </w:tc>
      </w:tr>
      <w:tr w:rsidR="00243F11">
        <w:trPr>
          <w:trHeight w:val="1080"/>
        </w:trPr>
        <w:tc>
          <w:tcPr>
            <w:tcW w:w="576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left="346" w:hanging="346"/>
            </w:pPr>
            <w:r>
              <w:rPr>
                <w:rFonts w:ascii="Times New Roman" w:eastAsia="Times New Roman" w:hAnsi="Times New Roman" w:cs="Times New Roman"/>
                <w:sz w:val="24"/>
              </w:rPr>
              <w:t xml:space="preserve">4. Minor exterior improvements costing less than $5000 (Ex. Adding a porch railing or shutters.) </w:t>
            </w:r>
          </w:p>
        </w:tc>
        <w:tc>
          <w:tcPr>
            <w:tcW w:w="171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Yes</w:t>
            </w:r>
          </w:p>
        </w:tc>
        <w:tc>
          <w:tcPr>
            <w:tcW w:w="162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None</w:t>
            </w:r>
          </w:p>
        </w:tc>
        <w:tc>
          <w:tcPr>
            <w:tcW w:w="164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n/a</w:t>
            </w:r>
          </w:p>
        </w:tc>
      </w:tr>
      <w:tr w:rsidR="00243F11">
        <w:trPr>
          <w:trHeight w:val="1080"/>
        </w:trPr>
        <w:tc>
          <w:tcPr>
            <w:tcW w:w="576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left="346" w:hanging="346"/>
            </w:pPr>
            <w:r>
              <w:rPr>
                <w:rFonts w:ascii="Times New Roman" w:eastAsia="Times New Roman" w:hAnsi="Times New Roman" w:cs="Times New Roman"/>
                <w:sz w:val="24"/>
              </w:rPr>
              <w:t>5. Major Landscaping (Ex: replacing most plants, changing pine straw area to grass, removing multiple trees, projects over $5,000 cost)</w:t>
            </w:r>
          </w:p>
        </w:tc>
        <w:tc>
          <w:tcPr>
            <w:tcW w:w="171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Yes</w:t>
            </w:r>
          </w:p>
        </w:tc>
        <w:tc>
          <w:tcPr>
            <w:tcW w:w="162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$200</w:t>
            </w:r>
          </w:p>
        </w:tc>
        <w:tc>
          <w:tcPr>
            <w:tcW w:w="164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n/a</w:t>
            </w:r>
          </w:p>
        </w:tc>
      </w:tr>
      <w:tr w:rsidR="00243F11">
        <w:trPr>
          <w:trHeight w:val="1080"/>
        </w:trPr>
        <w:tc>
          <w:tcPr>
            <w:tcW w:w="576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left="346" w:hanging="346"/>
            </w:pPr>
            <w:r>
              <w:rPr>
                <w:rFonts w:ascii="Times New Roman" w:eastAsia="Times New Roman" w:hAnsi="Times New Roman" w:cs="Times New Roman"/>
                <w:sz w:val="24"/>
              </w:rPr>
              <w:t>6. Minor Landscaping (Ex: new flower beds, adding landscape lighting, removing one tree, less than $5,000 project cost).</w:t>
            </w:r>
          </w:p>
        </w:tc>
        <w:tc>
          <w:tcPr>
            <w:tcW w:w="171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Yes</w:t>
            </w:r>
          </w:p>
        </w:tc>
        <w:tc>
          <w:tcPr>
            <w:tcW w:w="162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None</w:t>
            </w:r>
          </w:p>
        </w:tc>
        <w:tc>
          <w:tcPr>
            <w:tcW w:w="164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n/a</w:t>
            </w:r>
          </w:p>
        </w:tc>
      </w:tr>
      <w:tr w:rsidR="00243F11">
        <w:trPr>
          <w:trHeight w:val="1080"/>
        </w:trPr>
        <w:tc>
          <w:tcPr>
            <w:tcW w:w="576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left="346" w:hanging="346"/>
            </w:pPr>
            <w:r>
              <w:rPr>
                <w:rFonts w:ascii="Times New Roman" w:eastAsia="Times New Roman" w:hAnsi="Times New Roman" w:cs="Times New Roman"/>
                <w:sz w:val="24"/>
              </w:rPr>
              <w:t>7. Major home maintenance such as reroofing, exterior painting, adding a generator or door/window replacement.</w:t>
            </w:r>
          </w:p>
        </w:tc>
        <w:tc>
          <w:tcPr>
            <w:tcW w:w="171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Yes</w:t>
            </w:r>
          </w:p>
        </w:tc>
        <w:tc>
          <w:tcPr>
            <w:tcW w:w="162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None</w:t>
            </w:r>
          </w:p>
        </w:tc>
        <w:tc>
          <w:tcPr>
            <w:tcW w:w="164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n/a</w:t>
            </w:r>
          </w:p>
        </w:tc>
      </w:tr>
      <w:tr w:rsidR="00243F11">
        <w:trPr>
          <w:trHeight w:val="1080"/>
        </w:trPr>
        <w:tc>
          <w:tcPr>
            <w:tcW w:w="576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left="346" w:hanging="346"/>
            </w:pPr>
            <w:r>
              <w:rPr>
                <w:rFonts w:ascii="Times New Roman" w:eastAsia="Times New Roman" w:hAnsi="Times New Roman" w:cs="Times New Roman"/>
                <w:sz w:val="24"/>
              </w:rPr>
              <w:t>8. Any work (exterior or interior), not already noted above, requiring use of a dumpster or dump trailer.</w:t>
            </w:r>
          </w:p>
        </w:tc>
        <w:tc>
          <w:tcPr>
            <w:tcW w:w="171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Yes</w:t>
            </w:r>
          </w:p>
        </w:tc>
        <w:tc>
          <w:tcPr>
            <w:tcW w:w="162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$300</w:t>
            </w:r>
          </w:p>
        </w:tc>
        <w:tc>
          <w:tcPr>
            <w:tcW w:w="1640" w:type="dxa"/>
            <w:tcBorders>
              <w:top w:val="single" w:sz="4" w:space="0" w:color="000000"/>
              <w:left w:val="single" w:sz="4" w:space="0" w:color="000000"/>
              <w:bottom w:val="single" w:sz="4" w:space="0" w:color="000000"/>
              <w:right w:val="single" w:sz="4" w:space="0" w:color="000000"/>
            </w:tcBorders>
            <w:vAlign w:val="center"/>
          </w:tcPr>
          <w:p w:rsidR="00243F11" w:rsidRDefault="00000000">
            <w:pPr>
              <w:spacing w:after="0"/>
              <w:ind w:right="18"/>
              <w:jc w:val="center"/>
            </w:pPr>
            <w:r>
              <w:rPr>
                <w:rFonts w:ascii="Times New Roman" w:eastAsia="Times New Roman" w:hAnsi="Times New Roman" w:cs="Times New Roman"/>
                <w:sz w:val="24"/>
              </w:rPr>
              <w:t>n/a</w:t>
            </w:r>
          </w:p>
        </w:tc>
      </w:tr>
    </w:tbl>
    <w:p w:rsidR="004508EE" w:rsidRDefault="004508EE"/>
    <w:sectPr w:rsidR="004508EE" w:rsidSect="003D42FC">
      <w:pgSz w:w="12240" w:h="15840"/>
      <w:pgMar w:top="72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63F50"/>
    <w:multiLevelType w:val="hybridMultilevel"/>
    <w:tmpl w:val="3A50A2C0"/>
    <w:lvl w:ilvl="0" w:tplc="15C81AB2">
      <w:start w:val="1"/>
      <w:numFmt w:val="lowerLetter"/>
      <w:lvlText w:val="%1."/>
      <w:lvlJc w:val="left"/>
      <w:pPr>
        <w:ind w:left="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984226">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CEE962">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1CA41E">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886310">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DA2314">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B46D40">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00C0D8">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DA59F2">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2509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11"/>
    <w:rsid w:val="00243F11"/>
    <w:rsid w:val="003D42FC"/>
    <w:rsid w:val="0045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F3774-0AE8-4731-BF03-FEC07380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Paulk</dc:creator>
  <cp:keywords/>
  <cp:lastModifiedBy>Jimmy Paulk</cp:lastModifiedBy>
  <cp:revision>2</cp:revision>
  <dcterms:created xsi:type="dcterms:W3CDTF">2023-01-10T20:43:00Z</dcterms:created>
  <dcterms:modified xsi:type="dcterms:W3CDTF">2023-01-10T20:43:00Z</dcterms:modified>
</cp:coreProperties>
</file>